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83" w:rsidRDefault="00175783" w:rsidP="00DE6413">
      <w:pPr>
        <w:spacing w:after="0"/>
        <w:jc w:val="center"/>
      </w:pPr>
    </w:p>
    <w:p w:rsidR="00175783" w:rsidRDefault="00175783" w:rsidP="00DE6413">
      <w:pPr>
        <w:spacing w:after="0"/>
        <w:jc w:val="center"/>
      </w:pPr>
    </w:p>
    <w:p w:rsidR="00175783" w:rsidRDefault="00175783" w:rsidP="00DE6413">
      <w:pPr>
        <w:spacing w:after="0"/>
        <w:jc w:val="center"/>
      </w:pPr>
    </w:p>
    <w:p w:rsidR="00175783" w:rsidRDefault="00175783" w:rsidP="00DE6413">
      <w:pPr>
        <w:spacing w:after="0"/>
        <w:jc w:val="center"/>
      </w:pPr>
    </w:p>
    <w:p w:rsidR="00175783" w:rsidRDefault="00175783" w:rsidP="00DE6413">
      <w:pPr>
        <w:spacing w:after="0"/>
        <w:jc w:val="center"/>
      </w:pPr>
    </w:p>
    <w:p w:rsidR="00175783" w:rsidRDefault="00175783" w:rsidP="00DE6413">
      <w:pPr>
        <w:spacing w:after="0"/>
        <w:jc w:val="center"/>
      </w:pPr>
    </w:p>
    <w:p w:rsidR="00175783" w:rsidRDefault="00175783" w:rsidP="00DE6413">
      <w:pPr>
        <w:spacing w:after="0"/>
        <w:jc w:val="center"/>
      </w:pPr>
    </w:p>
    <w:p w:rsidR="00175783" w:rsidRDefault="00175783" w:rsidP="00DE6413">
      <w:pPr>
        <w:spacing w:after="0"/>
        <w:jc w:val="center"/>
      </w:pPr>
    </w:p>
    <w:p w:rsidR="00175783" w:rsidRDefault="00175783" w:rsidP="00DE6413">
      <w:pPr>
        <w:spacing w:after="0"/>
        <w:jc w:val="center"/>
      </w:pPr>
    </w:p>
    <w:p w:rsidR="00D53B8C" w:rsidRPr="00EE203C" w:rsidRDefault="00EE203C" w:rsidP="00DE6413">
      <w:pPr>
        <w:spacing w:after="0"/>
        <w:ind w:firstLine="284"/>
        <w:jc w:val="center"/>
        <w:rPr>
          <w:szCs w:val="24"/>
        </w:rPr>
      </w:pPr>
      <w:bookmarkStart w:id="0" w:name="_GoBack"/>
      <w:r w:rsidRPr="00EE203C">
        <w:rPr>
          <w:color w:val="1D1D1D"/>
          <w:szCs w:val="24"/>
        </w:rPr>
        <w:t xml:space="preserve"> Technology usage</w:t>
      </w:r>
      <w:bookmarkEnd w:id="0"/>
      <w:r w:rsidRPr="00EE203C">
        <w:rPr>
          <w:color w:val="1D1D1D"/>
          <w:szCs w:val="24"/>
        </w:rPr>
        <w:t>/depend</w:t>
      </w:r>
      <w:r>
        <w:rPr>
          <w:color w:val="1D1D1D"/>
          <w:szCs w:val="24"/>
        </w:rPr>
        <w:t>ency before and after C</w:t>
      </w:r>
      <w:r w:rsidRPr="00EE203C">
        <w:rPr>
          <w:color w:val="1D1D1D"/>
          <w:szCs w:val="24"/>
        </w:rPr>
        <w:t>ovid</w:t>
      </w:r>
    </w:p>
    <w:p w:rsidR="00790ECD" w:rsidRDefault="00175783" w:rsidP="00DE6413">
      <w:pPr>
        <w:spacing w:after="0"/>
        <w:jc w:val="center"/>
      </w:pPr>
      <w:r>
        <w:t>Student’s Name</w:t>
      </w:r>
    </w:p>
    <w:p w:rsidR="00175783" w:rsidRDefault="00175783" w:rsidP="00DE6413">
      <w:pPr>
        <w:spacing w:after="0"/>
        <w:jc w:val="center"/>
      </w:pPr>
      <w:r>
        <w:t>Institution</w:t>
      </w:r>
    </w:p>
    <w:p w:rsidR="005E1C46" w:rsidRDefault="005E1C46" w:rsidP="00DE6413">
      <w:pPr>
        <w:spacing w:after="0"/>
        <w:jc w:val="center"/>
      </w:pPr>
      <w:r>
        <w:t>Date</w:t>
      </w:r>
    </w:p>
    <w:p w:rsidR="00EE203C" w:rsidRDefault="00175783" w:rsidP="00DE6413">
      <w:pPr>
        <w:spacing w:after="0"/>
        <w:ind w:firstLine="284"/>
      </w:pPr>
      <w:r>
        <w:br w:type="page"/>
      </w:r>
    </w:p>
    <w:p w:rsidR="00EE203C" w:rsidRPr="009E7494" w:rsidRDefault="00EE203C" w:rsidP="00DE6413">
      <w:pPr>
        <w:spacing w:after="0"/>
        <w:ind w:firstLine="284"/>
        <w:jc w:val="center"/>
        <w:rPr>
          <w:b/>
          <w:szCs w:val="24"/>
        </w:rPr>
      </w:pPr>
      <w:r w:rsidRPr="009E7494">
        <w:rPr>
          <w:b/>
          <w:color w:val="1D1D1D"/>
          <w:szCs w:val="24"/>
        </w:rPr>
        <w:lastRenderedPageBreak/>
        <w:t>Technology usage/dependency before and after Covid</w:t>
      </w:r>
    </w:p>
    <w:p w:rsidR="00EE203C" w:rsidRPr="005F5239" w:rsidRDefault="00EE203C" w:rsidP="00DE6413">
      <w:pPr>
        <w:spacing w:after="0"/>
        <w:ind w:left="720" w:hanging="720"/>
        <w:rPr>
          <w:szCs w:val="24"/>
        </w:rPr>
      </w:pPr>
      <w:r w:rsidRPr="005F5239">
        <w:rPr>
          <w:szCs w:val="24"/>
        </w:rPr>
        <w:t>Wiederhold, B. K. (2020). Connecting through technology during the coronavirus disease 2019 pandemic: Avoiding “Zoom Fatigue”.</w:t>
      </w:r>
      <w:r>
        <w:rPr>
          <w:szCs w:val="24"/>
        </w:rPr>
        <w:t xml:space="preserve"> Retrieved from </w:t>
      </w:r>
      <w:hyperlink r:id="rId8" w:history="1">
        <w:r w:rsidRPr="002D58E5">
          <w:rPr>
            <w:rStyle w:val="Hyperlink"/>
            <w:szCs w:val="24"/>
          </w:rPr>
          <w:t>https://pubmed.ncbi.nlm.nih.gov/32551981/</w:t>
        </w:r>
      </w:hyperlink>
      <w:r>
        <w:rPr>
          <w:szCs w:val="24"/>
        </w:rPr>
        <w:t xml:space="preserve"> </w:t>
      </w:r>
    </w:p>
    <w:p w:rsidR="00EE203C" w:rsidRPr="005F5239" w:rsidRDefault="00EE203C" w:rsidP="00DE6413">
      <w:pPr>
        <w:spacing w:after="0"/>
        <w:ind w:left="720" w:hanging="720"/>
        <w:rPr>
          <w:szCs w:val="24"/>
        </w:rPr>
      </w:pPr>
      <w:r w:rsidRPr="005F5239">
        <w:rPr>
          <w:szCs w:val="24"/>
        </w:rPr>
        <w:t xml:space="preserve">Wotto, M. (2020). The future high education distance learning in Canada, the United States, and France: Insights from before COVID-19 secondary data analysis. </w:t>
      </w:r>
      <w:r w:rsidRPr="005F5239">
        <w:rPr>
          <w:i/>
          <w:iCs/>
          <w:szCs w:val="24"/>
        </w:rPr>
        <w:t>Journal of Educational Technology Systems</w:t>
      </w:r>
      <w:r w:rsidRPr="005F5239">
        <w:rPr>
          <w:szCs w:val="24"/>
        </w:rPr>
        <w:t xml:space="preserve">, </w:t>
      </w:r>
      <w:r w:rsidRPr="005F5239">
        <w:rPr>
          <w:i/>
          <w:iCs/>
          <w:szCs w:val="24"/>
        </w:rPr>
        <w:t>49</w:t>
      </w:r>
      <w:r w:rsidRPr="005F5239">
        <w:rPr>
          <w:szCs w:val="24"/>
        </w:rPr>
        <w:t>(2), 262-281.</w:t>
      </w:r>
      <w:r>
        <w:rPr>
          <w:szCs w:val="24"/>
        </w:rPr>
        <w:t xml:space="preserve"> Retrieved from </w:t>
      </w:r>
      <w:hyperlink r:id="rId9" w:history="1">
        <w:r w:rsidRPr="002D58E5">
          <w:rPr>
            <w:rStyle w:val="Hyperlink"/>
            <w:szCs w:val="24"/>
          </w:rPr>
          <w:t>https://journals.sagepub.com/doi/full/10.1177/0047239520940624</w:t>
        </w:r>
      </w:hyperlink>
      <w:r>
        <w:rPr>
          <w:szCs w:val="24"/>
        </w:rPr>
        <w:t xml:space="preserve"> </w:t>
      </w:r>
    </w:p>
    <w:p w:rsidR="00EE203C" w:rsidRPr="005F5239" w:rsidRDefault="00EE203C" w:rsidP="00DE6413">
      <w:pPr>
        <w:spacing w:after="0"/>
        <w:ind w:left="720" w:hanging="720"/>
        <w:rPr>
          <w:szCs w:val="24"/>
        </w:rPr>
      </w:pPr>
      <w:r w:rsidRPr="005F5239">
        <w:rPr>
          <w:szCs w:val="24"/>
        </w:rPr>
        <w:t xml:space="preserve">Teräs, M., Suoranta, J., Teräs, H., &amp; Curcher, M. (2020). Post-Covid-19 education and education technology ‘solutionism’: A seller’s market. </w:t>
      </w:r>
      <w:r w:rsidRPr="005F5239">
        <w:rPr>
          <w:i/>
          <w:iCs/>
          <w:szCs w:val="24"/>
        </w:rPr>
        <w:t>Postdigital Science and Education</w:t>
      </w:r>
      <w:r w:rsidRPr="005F5239">
        <w:rPr>
          <w:szCs w:val="24"/>
        </w:rPr>
        <w:t xml:space="preserve">, </w:t>
      </w:r>
      <w:r w:rsidRPr="005F5239">
        <w:rPr>
          <w:i/>
          <w:iCs/>
          <w:szCs w:val="24"/>
        </w:rPr>
        <w:t>2</w:t>
      </w:r>
      <w:r w:rsidRPr="005F5239">
        <w:rPr>
          <w:szCs w:val="24"/>
        </w:rPr>
        <w:t>(3), 863-878.</w:t>
      </w:r>
      <w:r>
        <w:rPr>
          <w:szCs w:val="24"/>
        </w:rPr>
        <w:t xml:space="preserve"> Retrieved from </w:t>
      </w:r>
      <w:hyperlink r:id="rId10" w:history="1">
        <w:r w:rsidRPr="002D58E5">
          <w:rPr>
            <w:rStyle w:val="Hyperlink"/>
            <w:szCs w:val="24"/>
          </w:rPr>
          <w:t>https://link.springer.com/article/10.1007/s42438-020-00164-x</w:t>
        </w:r>
      </w:hyperlink>
      <w:r>
        <w:rPr>
          <w:szCs w:val="24"/>
        </w:rPr>
        <w:t xml:space="preserve"> </w:t>
      </w:r>
    </w:p>
    <w:p w:rsidR="00EE203C" w:rsidRPr="005F5239" w:rsidRDefault="00EE203C" w:rsidP="00DE6413">
      <w:pPr>
        <w:spacing w:after="0"/>
        <w:ind w:left="720" w:hanging="720"/>
        <w:rPr>
          <w:szCs w:val="24"/>
        </w:rPr>
      </w:pPr>
      <w:r w:rsidRPr="005F5239">
        <w:rPr>
          <w:szCs w:val="24"/>
        </w:rPr>
        <w:t xml:space="preserve">Whitelaw, S., Mamas, M. A., Topol, E., &amp; Van Spall, H. G. (2020). Applications of digital technology in COVID-19 pandemic planning and response. </w:t>
      </w:r>
      <w:r w:rsidRPr="005F5239">
        <w:rPr>
          <w:i/>
          <w:iCs/>
          <w:szCs w:val="24"/>
        </w:rPr>
        <w:t>The Lancet Digital Health</w:t>
      </w:r>
      <w:r w:rsidRPr="005F5239">
        <w:rPr>
          <w:szCs w:val="24"/>
        </w:rPr>
        <w:t>.</w:t>
      </w:r>
      <w:r>
        <w:rPr>
          <w:szCs w:val="24"/>
        </w:rPr>
        <w:t xml:space="preserve"> Retrieved from </w:t>
      </w:r>
      <w:hyperlink r:id="rId11" w:history="1">
        <w:r w:rsidRPr="002D58E5">
          <w:rPr>
            <w:rStyle w:val="Hyperlink"/>
            <w:szCs w:val="24"/>
          </w:rPr>
          <w:t>https://www.ncbi.nlm.nih.gov/pmc/articles/PMC7324092/</w:t>
        </w:r>
      </w:hyperlink>
      <w:r>
        <w:rPr>
          <w:szCs w:val="24"/>
        </w:rPr>
        <w:t xml:space="preserve"> </w:t>
      </w:r>
    </w:p>
    <w:p w:rsidR="00DE6413" w:rsidRDefault="00EE203C" w:rsidP="00DE6413">
      <w:pPr>
        <w:spacing w:after="0"/>
        <w:ind w:left="720" w:hanging="720"/>
        <w:rPr>
          <w:szCs w:val="24"/>
        </w:rPr>
      </w:pPr>
      <w:r w:rsidRPr="005F5239">
        <w:rPr>
          <w:szCs w:val="24"/>
        </w:rPr>
        <w:t xml:space="preserve">Torous, J., Myrick, K. J., Rauseo-Ricupero, N., &amp; Firth, J. (2020). Digital mental health and COVID-19: using technology today to accelerate the curve on access and quality tomorrow. </w:t>
      </w:r>
      <w:r w:rsidRPr="005F5239">
        <w:rPr>
          <w:i/>
          <w:iCs/>
          <w:szCs w:val="24"/>
        </w:rPr>
        <w:t>JMIR mental health</w:t>
      </w:r>
      <w:r w:rsidRPr="005F5239">
        <w:rPr>
          <w:szCs w:val="24"/>
        </w:rPr>
        <w:t xml:space="preserve">, </w:t>
      </w:r>
      <w:r w:rsidRPr="005F5239">
        <w:rPr>
          <w:i/>
          <w:iCs/>
          <w:szCs w:val="24"/>
        </w:rPr>
        <w:t>7</w:t>
      </w:r>
      <w:r w:rsidRPr="005F5239">
        <w:rPr>
          <w:szCs w:val="24"/>
        </w:rPr>
        <w:t>(3), e18848.</w:t>
      </w:r>
      <w:r>
        <w:rPr>
          <w:szCs w:val="24"/>
        </w:rPr>
        <w:t xml:space="preserve"> Retrieved from </w:t>
      </w:r>
      <w:hyperlink r:id="rId12" w:history="1">
        <w:r w:rsidRPr="002D58E5">
          <w:rPr>
            <w:rStyle w:val="Hyperlink"/>
            <w:szCs w:val="24"/>
          </w:rPr>
          <w:t>https://mental.jmir.org/2020/3/e18848/</w:t>
        </w:r>
      </w:hyperlink>
      <w:r>
        <w:rPr>
          <w:szCs w:val="24"/>
        </w:rPr>
        <w:t xml:space="preserve"> </w:t>
      </w:r>
    </w:p>
    <w:p w:rsidR="00EE203C" w:rsidRDefault="00EE203C" w:rsidP="00DE6413">
      <w:pPr>
        <w:spacing w:after="0"/>
        <w:ind w:left="720" w:hanging="720"/>
        <w:rPr>
          <w:szCs w:val="24"/>
        </w:rPr>
      </w:pPr>
      <w:r w:rsidRPr="00247A77">
        <w:rPr>
          <w:szCs w:val="24"/>
        </w:rPr>
        <w:t>Wiederhold, B. K. (2020). Children's Screen Time During the COVID-19 Pandemic: Boundaries and Etiquette.</w:t>
      </w:r>
      <w:r>
        <w:rPr>
          <w:szCs w:val="24"/>
        </w:rPr>
        <w:t xml:space="preserve"> Retrieved from </w:t>
      </w:r>
      <w:hyperlink r:id="rId13" w:history="1">
        <w:r w:rsidRPr="002D58E5">
          <w:rPr>
            <w:rStyle w:val="Hyperlink"/>
            <w:szCs w:val="24"/>
          </w:rPr>
          <w:t>https://pubmed.ncbi.nlm.nih.gov/32437623/</w:t>
        </w:r>
      </w:hyperlink>
      <w:r>
        <w:rPr>
          <w:szCs w:val="24"/>
        </w:rPr>
        <w:t xml:space="preserve"> </w:t>
      </w:r>
    </w:p>
    <w:p w:rsidR="00EE203C" w:rsidRDefault="00EE203C" w:rsidP="00DE6413">
      <w:pPr>
        <w:spacing w:after="0"/>
        <w:ind w:left="720" w:hanging="720"/>
        <w:rPr>
          <w:szCs w:val="24"/>
        </w:rPr>
      </w:pPr>
      <w:r w:rsidRPr="00091B11">
        <w:rPr>
          <w:szCs w:val="24"/>
        </w:rPr>
        <w:t xml:space="preserve">Deverell, L., Bhowmik, J., Lau, B. T., Al Mahmud, A., Sukunesan, S., Islam, F. M. A., ... &amp; Meyer, D. (2020). Use of technology by orientation and mobility professionals in Australia and Malaysia before COVID-19. </w:t>
      </w:r>
      <w:r w:rsidRPr="00091B11">
        <w:rPr>
          <w:i/>
          <w:iCs/>
          <w:szCs w:val="24"/>
        </w:rPr>
        <w:t xml:space="preserve">Disability and Rehabilitation: Assistive </w:t>
      </w:r>
      <w:r w:rsidRPr="00091B11">
        <w:rPr>
          <w:i/>
          <w:iCs/>
          <w:szCs w:val="24"/>
        </w:rPr>
        <w:lastRenderedPageBreak/>
        <w:t>Technology</w:t>
      </w:r>
      <w:r w:rsidRPr="00091B11">
        <w:rPr>
          <w:szCs w:val="24"/>
        </w:rPr>
        <w:t>, 1-8.</w:t>
      </w:r>
      <w:r>
        <w:rPr>
          <w:szCs w:val="24"/>
        </w:rPr>
        <w:t xml:space="preserve"> Retrieved from </w:t>
      </w:r>
      <w:hyperlink r:id="rId14" w:history="1">
        <w:r w:rsidRPr="002D58E5">
          <w:rPr>
            <w:rStyle w:val="Hyperlink"/>
            <w:szCs w:val="24"/>
          </w:rPr>
          <w:t>https://www.tandfonline.com/doi/full/10.1080/17483107.2020.1785565</w:t>
        </w:r>
      </w:hyperlink>
      <w:r>
        <w:rPr>
          <w:szCs w:val="24"/>
        </w:rPr>
        <w:t xml:space="preserve"> </w:t>
      </w:r>
    </w:p>
    <w:p w:rsidR="00EE203C" w:rsidRDefault="00EE203C" w:rsidP="00DE6413">
      <w:pPr>
        <w:spacing w:after="0"/>
        <w:ind w:left="720" w:hanging="720"/>
        <w:rPr>
          <w:szCs w:val="24"/>
        </w:rPr>
      </w:pPr>
      <w:r w:rsidRPr="00B150B0">
        <w:rPr>
          <w:szCs w:val="24"/>
        </w:rPr>
        <w:t xml:space="preserve">Gretzel, U., Fuchs, M., Baggio, R., Hoepken, W., Law, R., Neidhardt, J., ... &amp; Xiang, Z. (2020). e-Tourism beyond COVID-19: a call for transformative research. </w:t>
      </w:r>
      <w:r w:rsidRPr="00B150B0">
        <w:rPr>
          <w:i/>
          <w:iCs/>
          <w:szCs w:val="24"/>
        </w:rPr>
        <w:t>Information Technology &amp; Tourism</w:t>
      </w:r>
      <w:r w:rsidRPr="00B150B0">
        <w:rPr>
          <w:szCs w:val="24"/>
        </w:rPr>
        <w:t xml:space="preserve">, </w:t>
      </w:r>
      <w:r w:rsidRPr="00B150B0">
        <w:rPr>
          <w:i/>
          <w:iCs/>
          <w:szCs w:val="24"/>
        </w:rPr>
        <w:t>22</w:t>
      </w:r>
      <w:r w:rsidRPr="00B150B0">
        <w:rPr>
          <w:szCs w:val="24"/>
        </w:rPr>
        <w:t>, 187-203.</w:t>
      </w:r>
      <w:r>
        <w:rPr>
          <w:szCs w:val="24"/>
        </w:rPr>
        <w:t xml:space="preserve"> Retrieved from </w:t>
      </w:r>
      <w:hyperlink r:id="rId15" w:history="1">
        <w:r w:rsidRPr="002D58E5">
          <w:rPr>
            <w:rStyle w:val="Hyperlink"/>
            <w:szCs w:val="24"/>
          </w:rPr>
          <w:t>https://link.springer.com/article/10.1007/s40558-020-00181-3</w:t>
        </w:r>
      </w:hyperlink>
      <w:r>
        <w:rPr>
          <w:szCs w:val="24"/>
        </w:rPr>
        <w:t xml:space="preserve"> </w:t>
      </w:r>
    </w:p>
    <w:p w:rsidR="00EE203C" w:rsidRDefault="00EE203C" w:rsidP="00DE6413">
      <w:pPr>
        <w:spacing w:after="0"/>
        <w:ind w:left="720" w:hanging="720"/>
        <w:rPr>
          <w:szCs w:val="24"/>
        </w:rPr>
      </w:pPr>
      <w:r w:rsidRPr="00E43FC4">
        <w:rPr>
          <w:szCs w:val="24"/>
        </w:rPr>
        <w:t xml:space="preserve">Ruthberg, J. S., Quereshy, H. A., Ahmadmehrabi, S., Trudeau, S., Chaudry, E., Hair, B., ... &amp; Mowry, S. E. (2020). A multimodal multi-institutional solution to remote medical student education for otolaryngology during COVID-19. </w:t>
      </w:r>
      <w:r w:rsidRPr="00E43FC4">
        <w:rPr>
          <w:i/>
          <w:iCs/>
          <w:szCs w:val="24"/>
        </w:rPr>
        <w:t>Otolaryngology–Head and Neck Surgery</w:t>
      </w:r>
      <w:r w:rsidRPr="00E43FC4">
        <w:rPr>
          <w:szCs w:val="24"/>
        </w:rPr>
        <w:t xml:space="preserve">, </w:t>
      </w:r>
      <w:r w:rsidRPr="00E43FC4">
        <w:rPr>
          <w:i/>
          <w:iCs/>
          <w:szCs w:val="24"/>
        </w:rPr>
        <w:t>163</w:t>
      </w:r>
      <w:r w:rsidRPr="00E43FC4">
        <w:rPr>
          <w:szCs w:val="24"/>
        </w:rPr>
        <w:t>(4), 707-709.</w:t>
      </w:r>
      <w:r>
        <w:rPr>
          <w:szCs w:val="24"/>
        </w:rPr>
        <w:t xml:space="preserve"> Retrieved from </w:t>
      </w:r>
      <w:hyperlink r:id="rId16" w:history="1">
        <w:r w:rsidRPr="002D58E5">
          <w:rPr>
            <w:rStyle w:val="Hyperlink"/>
            <w:szCs w:val="24"/>
          </w:rPr>
          <w:t>https://journals.sagepub.com/doi/full/10.1177/0194599820933599</w:t>
        </w:r>
      </w:hyperlink>
      <w:r>
        <w:rPr>
          <w:szCs w:val="24"/>
        </w:rPr>
        <w:t xml:space="preserve"> </w:t>
      </w:r>
    </w:p>
    <w:p w:rsidR="00EE203C" w:rsidRPr="006B24FB" w:rsidRDefault="00EE203C" w:rsidP="00DE6413">
      <w:pPr>
        <w:spacing w:after="0"/>
        <w:ind w:left="720" w:hanging="720"/>
        <w:rPr>
          <w:szCs w:val="24"/>
        </w:rPr>
      </w:pPr>
      <w:r w:rsidRPr="006B24FB">
        <w:rPr>
          <w:szCs w:val="24"/>
        </w:rPr>
        <w:t xml:space="preserve">Green, J. K., Burrow, M. S., &amp; Carvalho, L. (2020). Designing for transition: supporting teachers and students cope with emergency remote education. </w:t>
      </w:r>
      <w:r w:rsidRPr="006B24FB">
        <w:rPr>
          <w:i/>
          <w:iCs/>
          <w:szCs w:val="24"/>
        </w:rPr>
        <w:t>Postdigital Science and Education</w:t>
      </w:r>
      <w:r w:rsidRPr="006B24FB">
        <w:rPr>
          <w:szCs w:val="24"/>
        </w:rPr>
        <w:t xml:space="preserve">, </w:t>
      </w:r>
      <w:r w:rsidRPr="006B24FB">
        <w:rPr>
          <w:i/>
          <w:iCs/>
          <w:szCs w:val="24"/>
        </w:rPr>
        <w:t>2</w:t>
      </w:r>
      <w:r w:rsidRPr="006B24FB">
        <w:rPr>
          <w:szCs w:val="24"/>
        </w:rPr>
        <w:t>(3), 906-922.</w:t>
      </w:r>
      <w:r>
        <w:rPr>
          <w:szCs w:val="24"/>
        </w:rPr>
        <w:t xml:space="preserve"> Retrieved from </w:t>
      </w:r>
      <w:hyperlink r:id="rId17" w:history="1">
        <w:r w:rsidRPr="002D58E5">
          <w:rPr>
            <w:rStyle w:val="Hyperlink"/>
            <w:szCs w:val="24"/>
          </w:rPr>
          <w:t>https://link.springer.com/article/10.1007/s42438-020-00185-6</w:t>
        </w:r>
      </w:hyperlink>
      <w:r>
        <w:rPr>
          <w:szCs w:val="24"/>
        </w:rPr>
        <w:t xml:space="preserve"> </w:t>
      </w:r>
    </w:p>
    <w:p w:rsidR="00EE203C" w:rsidRPr="00E43FC4" w:rsidRDefault="00EE203C" w:rsidP="00DE6413">
      <w:pPr>
        <w:spacing w:after="0"/>
        <w:ind w:firstLine="284"/>
        <w:rPr>
          <w:szCs w:val="24"/>
        </w:rPr>
      </w:pPr>
    </w:p>
    <w:p w:rsidR="00EE203C" w:rsidRPr="005F6E87" w:rsidRDefault="00EE203C" w:rsidP="00DE6413">
      <w:pPr>
        <w:spacing w:after="0"/>
        <w:ind w:firstLine="284"/>
      </w:pPr>
    </w:p>
    <w:p w:rsidR="00175783" w:rsidRDefault="00175783" w:rsidP="00DE6413">
      <w:pPr>
        <w:spacing w:after="0"/>
      </w:pPr>
    </w:p>
    <w:sectPr w:rsidR="00175783" w:rsidSect="00790ECD">
      <w:head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007" w:rsidRDefault="00F10007" w:rsidP="00790ECD">
      <w:pPr>
        <w:spacing w:after="0" w:line="240" w:lineRule="auto"/>
      </w:pPr>
      <w:r>
        <w:separator/>
      </w:r>
    </w:p>
  </w:endnote>
  <w:endnote w:type="continuationSeparator" w:id="0">
    <w:p w:rsidR="00F10007" w:rsidRDefault="00F10007" w:rsidP="0079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007" w:rsidRDefault="00F10007" w:rsidP="00790ECD">
      <w:pPr>
        <w:spacing w:after="0" w:line="240" w:lineRule="auto"/>
      </w:pPr>
      <w:r>
        <w:separator/>
      </w:r>
    </w:p>
  </w:footnote>
  <w:footnote w:type="continuationSeparator" w:id="0">
    <w:p w:rsidR="00F10007" w:rsidRDefault="00F10007" w:rsidP="0079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238"/>
      <w:docPartObj>
        <w:docPartGallery w:val="Page Numbers (Top of Page)"/>
        <w:docPartUnique/>
      </w:docPartObj>
    </w:sdtPr>
    <w:sdtEndPr/>
    <w:sdtContent>
      <w:p w:rsidR="003A2F85" w:rsidRDefault="00B8190E" w:rsidP="00B8190E">
        <w:pPr>
          <w:pStyle w:val="Header"/>
        </w:pPr>
        <w:r>
          <w:rPr>
            <w:color w:val="1D1D1D"/>
            <w:szCs w:val="24"/>
          </w:rPr>
          <w:t>TECHNOLOGY USAGE/DEPENDENCY BEFORE AND AFTER COVID</w:t>
        </w:r>
        <w:r w:rsidR="003A2F85">
          <w:tab/>
        </w:r>
        <w:r w:rsidR="003A2F85">
          <w:tab/>
        </w:r>
        <w:r w:rsidR="00052DA2">
          <w:fldChar w:fldCharType="begin"/>
        </w:r>
        <w:r w:rsidR="00052DA2">
          <w:instrText xml:space="preserve"> PAGE   \* MERGEFORMAT </w:instrText>
        </w:r>
        <w:r w:rsidR="00052DA2">
          <w:fldChar w:fldCharType="separate"/>
        </w:r>
        <w:r w:rsidR="00CD4B95">
          <w:rPr>
            <w:noProof/>
          </w:rPr>
          <w:t>2</w:t>
        </w:r>
        <w:r w:rsidR="00052DA2">
          <w:rPr>
            <w:noProof/>
          </w:rPr>
          <w:fldChar w:fldCharType="end"/>
        </w:r>
      </w:p>
    </w:sdtContent>
  </w:sdt>
  <w:p w:rsidR="003A2F85" w:rsidRDefault="003A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F85" w:rsidRPr="00EE203C" w:rsidRDefault="003A2F85" w:rsidP="00EE203C">
    <w:pPr>
      <w:spacing w:after="0"/>
      <w:rPr>
        <w:szCs w:val="24"/>
      </w:rPr>
    </w:pPr>
    <w:r>
      <w:t>Runnin</w:t>
    </w:r>
    <w:r w:rsidR="00EE203C">
      <w:t>g Head:</w:t>
    </w:r>
    <w:r w:rsidR="00D5124F">
      <w:t xml:space="preserve">  </w:t>
    </w:r>
    <w:r w:rsidR="00EE203C">
      <w:rPr>
        <w:color w:val="1D1D1D"/>
        <w:szCs w:val="24"/>
      </w:rPr>
      <w:t xml:space="preserve">TECHNOLOGY USAGE/DEPENDENCY BEFORE AND AFTER COVID </w:t>
    </w:r>
    <w:r w:rsidR="00C754FD">
      <w:t>1</w:t>
    </w:r>
    <w:r w:rsidR="00644DC6">
      <w:t xml:space="preserve">                           </w:t>
    </w:r>
    <w:r w:rsidR="00EE203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A6A44"/>
    <w:multiLevelType w:val="multilevel"/>
    <w:tmpl w:val="F3B4C0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5A1002"/>
    <w:multiLevelType w:val="hybridMultilevel"/>
    <w:tmpl w:val="DDCA25AC"/>
    <w:lvl w:ilvl="0" w:tplc="D94E3CE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2D3B45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CD"/>
    <w:rsid w:val="0000410E"/>
    <w:rsid w:val="00026950"/>
    <w:rsid w:val="00052DA2"/>
    <w:rsid w:val="000707E8"/>
    <w:rsid w:val="00073E5E"/>
    <w:rsid w:val="000A337E"/>
    <w:rsid w:val="000A49F2"/>
    <w:rsid w:val="000F132F"/>
    <w:rsid w:val="000F7DEE"/>
    <w:rsid w:val="00104BB6"/>
    <w:rsid w:val="00122D71"/>
    <w:rsid w:val="001621C5"/>
    <w:rsid w:val="00175783"/>
    <w:rsid w:val="00190BE7"/>
    <w:rsid w:val="00196B3F"/>
    <w:rsid w:val="001A3440"/>
    <w:rsid w:val="001A475D"/>
    <w:rsid w:val="001C55F2"/>
    <w:rsid w:val="001E78AD"/>
    <w:rsid w:val="001F6553"/>
    <w:rsid w:val="00220C58"/>
    <w:rsid w:val="002229DA"/>
    <w:rsid w:val="00257262"/>
    <w:rsid w:val="002572E5"/>
    <w:rsid w:val="002E0135"/>
    <w:rsid w:val="002E3683"/>
    <w:rsid w:val="002E6FB0"/>
    <w:rsid w:val="002F01C1"/>
    <w:rsid w:val="00300376"/>
    <w:rsid w:val="003771D7"/>
    <w:rsid w:val="00386290"/>
    <w:rsid w:val="0039592B"/>
    <w:rsid w:val="003A2F85"/>
    <w:rsid w:val="003E7231"/>
    <w:rsid w:val="003F55C0"/>
    <w:rsid w:val="004134F6"/>
    <w:rsid w:val="004B10DF"/>
    <w:rsid w:val="004C5BAC"/>
    <w:rsid w:val="004E53B8"/>
    <w:rsid w:val="00506140"/>
    <w:rsid w:val="00530D21"/>
    <w:rsid w:val="005550DF"/>
    <w:rsid w:val="00571E8E"/>
    <w:rsid w:val="005855C2"/>
    <w:rsid w:val="005E1C46"/>
    <w:rsid w:val="005E3954"/>
    <w:rsid w:val="00603DD4"/>
    <w:rsid w:val="00644DC6"/>
    <w:rsid w:val="00646AEA"/>
    <w:rsid w:val="00655C99"/>
    <w:rsid w:val="00667FB0"/>
    <w:rsid w:val="006B1076"/>
    <w:rsid w:val="006D2A92"/>
    <w:rsid w:val="00717D92"/>
    <w:rsid w:val="00732876"/>
    <w:rsid w:val="00763A5F"/>
    <w:rsid w:val="00790ECD"/>
    <w:rsid w:val="007B395F"/>
    <w:rsid w:val="007D0D3E"/>
    <w:rsid w:val="007D63B1"/>
    <w:rsid w:val="00821224"/>
    <w:rsid w:val="00825A3D"/>
    <w:rsid w:val="008848E4"/>
    <w:rsid w:val="008B30B4"/>
    <w:rsid w:val="008B38A0"/>
    <w:rsid w:val="008E3E48"/>
    <w:rsid w:val="008F3A56"/>
    <w:rsid w:val="00903890"/>
    <w:rsid w:val="00930BFD"/>
    <w:rsid w:val="00935496"/>
    <w:rsid w:val="00973CC6"/>
    <w:rsid w:val="009C7EF0"/>
    <w:rsid w:val="009D031F"/>
    <w:rsid w:val="009E7494"/>
    <w:rsid w:val="00A2254C"/>
    <w:rsid w:val="00A23DDC"/>
    <w:rsid w:val="00A60FB8"/>
    <w:rsid w:val="00A82F89"/>
    <w:rsid w:val="00A926AD"/>
    <w:rsid w:val="00AB1B13"/>
    <w:rsid w:val="00AD03E9"/>
    <w:rsid w:val="00AE03BE"/>
    <w:rsid w:val="00AF71FD"/>
    <w:rsid w:val="00B1451E"/>
    <w:rsid w:val="00B30CA8"/>
    <w:rsid w:val="00B365FE"/>
    <w:rsid w:val="00B63977"/>
    <w:rsid w:val="00B8190E"/>
    <w:rsid w:val="00BA1633"/>
    <w:rsid w:val="00C754FD"/>
    <w:rsid w:val="00CD4B95"/>
    <w:rsid w:val="00D15FB4"/>
    <w:rsid w:val="00D41388"/>
    <w:rsid w:val="00D5124F"/>
    <w:rsid w:val="00D53B8C"/>
    <w:rsid w:val="00D60C43"/>
    <w:rsid w:val="00D77F2F"/>
    <w:rsid w:val="00D86418"/>
    <w:rsid w:val="00DC7D4B"/>
    <w:rsid w:val="00DE6413"/>
    <w:rsid w:val="00E04B0E"/>
    <w:rsid w:val="00E642CD"/>
    <w:rsid w:val="00EC0B96"/>
    <w:rsid w:val="00EC10BD"/>
    <w:rsid w:val="00ED2214"/>
    <w:rsid w:val="00ED4330"/>
    <w:rsid w:val="00EE203C"/>
    <w:rsid w:val="00F10007"/>
    <w:rsid w:val="00F4000A"/>
    <w:rsid w:val="00F52F80"/>
    <w:rsid w:val="00F563CA"/>
    <w:rsid w:val="00F613C7"/>
    <w:rsid w:val="00F6226F"/>
    <w:rsid w:val="00F65DC6"/>
    <w:rsid w:val="00F9780E"/>
    <w:rsid w:val="00FB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7F75F"/>
  <w15:docId w15:val="{6EE61BD0-0298-4D8B-9D91-0A331F89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BAC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EC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90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ECD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2E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20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2551981/" TargetMode="External"/><Relationship Id="rId13" Type="http://schemas.openxmlformats.org/officeDocument/2006/relationships/hyperlink" Target="https://pubmed.ncbi.nlm.nih.gov/32437623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ental.jmir.org/2020/3/e18848/" TargetMode="External"/><Relationship Id="rId17" Type="http://schemas.openxmlformats.org/officeDocument/2006/relationships/hyperlink" Target="https://link.springer.com/article/10.1007/s42438-020-00185-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urnals.sagepub.com/doi/full/10.1177/019459982093359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mc/articles/PMC732409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nk.springer.com/article/10.1007/s40558-020-00181-3" TargetMode="External"/><Relationship Id="rId10" Type="http://schemas.openxmlformats.org/officeDocument/2006/relationships/hyperlink" Target="https://link.springer.com/article/10.1007/s42438-020-00164-x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journals.sagepub.com/doi/full/10.1177/0047239520940624" TargetMode="External"/><Relationship Id="rId14" Type="http://schemas.openxmlformats.org/officeDocument/2006/relationships/hyperlink" Target="https://www.tandfonline.com/doi/full/10.1080/17483107.2020.1785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738B8-0089-493B-93ED-BC5D0FB4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2021-03-01T19:15:00Z</dcterms:created>
  <dcterms:modified xsi:type="dcterms:W3CDTF">2021-03-01T19:15:00Z</dcterms:modified>
</cp:coreProperties>
</file>